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CF" w:rsidRDefault="007A1C9E">
      <w:pPr>
        <w:tabs>
          <w:tab w:val="left" w:pos="4536"/>
        </w:tabs>
        <w:ind w:right="4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36CF" w:rsidRDefault="007A1C9E">
      <w:pPr>
        <w:tabs>
          <w:tab w:val="left" w:pos="4536"/>
        </w:tabs>
        <w:ind w:right="4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436CF" w:rsidRDefault="007A1C9E">
      <w:pPr>
        <w:tabs>
          <w:tab w:val="left" w:pos="4536"/>
        </w:tabs>
        <w:ind w:right="4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436CF" w:rsidRDefault="007A1C9E">
      <w:pPr>
        <w:tabs>
          <w:tab w:val="left" w:pos="4536"/>
        </w:tabs>
        <w:ind w:right="4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ЗУБАРЕВСКИЙ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E436CF" w:rsidRDefault="007A1C9E">
      <w:pPr>
        <w:pStyle w:val="a4"/>
        <w:tabs>
          <w:tab w:val="left" w:pos="4536"/>
        </w:tabs>
        <w:ind w:right="4819"/>
        <w:jc w:val="center"/>
        <w:rPr>
          <w:b/>
          <w:szCs w:val="28"/>
        </w:rPr>
      </w:pPr>
      <w:r>
        <w:rPr>
          <w:b/>
          <w:szCs w:val="28"/>
        </w:rPr>
        <w:t>ОРЕНБУРГСКОГО РАЙОНА</w:t>
      </w:r>
    </w:p>
    <w:p w:rsidR="00E436CF" w:rsidRDefault="007A1C9E">
      <w:pPr>
        <w:pStyle w:val="a4"/>
        <w:tabs>
          <w:tab w:val="left" w:pos="4536"/>
        </w:tabs>
        <w:ind w:right="4819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E436CF" w:rsidRDefault="00E436CF">
      <w:pPr>
        <w:pStyle w:val="a4"/>
        <w:tabs>
          <w:tab w:val="left" w:pos="4536"/>
        </w:tabs>
        <w:ind w:right="4819"/>
        <w:jc w:val="center"/>
        <w:rPr>
          <w:b/>
          <w:szCs w:val="28"/>
        </w:rPr>
      </w:pPr>
    </w:p>
    <w:p w:rsidR="00E436CF" w:rsidRDefault="007A1C9E">
      <w:pPr>
        <w:pStyle w:val="Heading2"/>
        <w:tabs>
          <w:tab w:val="left" w:pos="4536"/>
        </w:tabs>
        <w:spacing w:before="0"/>
        <w:ind w:right="481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E436CF" w:rsidRDefault="00E436CF">
      <w:pPr>
        <w:tabs>
          <w:tab w:val="left" w:pos="4536"/>
          <w:tab w:val="left" w:pos="4860"/>
        </w:tabs>
        <w:ind w:right="48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CF" w:rsidRDefault="007A1C9E">
      <w:pPr>
        <w:tabs>
          <w:tab w:val="left" w:pos="4536"/>
        </w:tabs>
        <w:ind w:right="48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13.11.2024  №  101-п</w:t>
      </w:r>
    </w:p>
    <w:p w:rsidR="00E436CF" w:rsidRDefault="00E436CF">
      <w:pPr>
        <w:tabs>
          <w:tab w:val="left" w:pos="4536"/>
        </w:tabs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E436CF" w:rsidRDefault="007A1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методике формирования местного </w:t>
      </w:r>
    </w:p>
    <w:p w:rsidR="00E436CF" w:rsidRDefault="007A1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на 2025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E436CF" w:rsidRDefault="007A1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2026 и 2027 годов </w:t>
      </w:r>
    </w:p>
    <w:p w:rsidR="00E436CF" w:rsidRDefault="00E436CF">
      <w:pPr>
        <w:spacing w:line="312" w:lineRule="atLeast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jc w:val="both"/>
        <w:rPr>
          <w:sz w:val="28"/>
          <w:szCs w:val="28"/>
        </w:rPr>
      </w:pPr>
    </w:p>
    <w:p w:rsidR="00E436CF" w:rsidRDefault="007A1C9E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решения Совета депутатов муниципального образования Зубаревский сельсовет  от 17 июня 2022 года  № 138 «Об утверждении Положения о бюджетном процессе в муниципальном образовании Зубаревский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области», руководствуясь Уставом муниципального образования Зубаревский сельсовет  Оренбургского района Оренбургской области, и  в  целях подготовки проекта бюджета на  2025 год и на плановый период 2026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2027 годов:</w:t>
      </w:r>
    </w:p>
    <w:p w:rsidR="00E436CF" w:rsidRDefault="007A1C9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методику формирования местного бюджета на 2025 год и на плановый период 2026 и 2027 годов согласно приложению.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E436CF" w:rsidRDefault="00E436CF">
      <w:pPr>
        <w:pStyle w:val="af2"/>
        <w:shd w:val="clear" w:color="auto" w:fill="FFFFFF"/>
        <w:ind w:firstLine="709"/>
        <w:jc w:val="both"/>
        <w:rPr>
          <w:sz w:val="28"/>
          <w:szCs w:val="28"/>
        </w:rPr>
      </w:pPr>
    </w:p>
    <w:p w:rsidR="00E436CF" w:rsidRDefault="00E436C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spacing w:line="312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                            М.Х. </w:t>
      </w:r>
      <w:r>
        <w:rPr>
          <w:rFonts w:ascii="Times New Roman" w:hAnsi="Times New Roman" w:cs="Times New Roman"/>
          <w:sz w:val="28"/>
          <w:szCs w:val="28"/>
        </w:rPr>
        <w:t>Дюсенова</w:t>
      </w:r>
    </w:p>
    <w:p w:rsidR="00E436CF" w:rsidRDefault="00E436CF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Счетной палате района, прокуратуре района, в дело</w:t>
      </w: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</w:p>
    <w:p w:rsidR="00E436CF" w:rsidRDefault="00E43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6CF" w:rsidRDefault="00E436CF">
      <w:pPr>
        <w:jc w:val="right"/>
        <w:rPr>
          <w:sz w:val="28"/>
          <w:szCs w:val="28"/>
        </w:rPr>
      </w:pPr>
    </w:p>
    <w:p w:rsidR="00E436CF" w:rsidRDefault="007A1C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</w:t>
      </w:r>
    </w:p>
    <w:p w:rsidR="00E436CF" w:rsidRDefault="007A1C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36CF" w:rsidRDefault="007A1C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36CF" w:rsidRDefault="007A1C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Зубаревский сельсовет</w:t>
      </w:r>
    </w:p>
    <w:p w:rsidR="00E436CF" w:rsidRDefault="007A1C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13</w:t>
      </w:r>
      <w:r>
        <w:rPr>
          <w:rFonts w:ascii="Times New Roman" w:hAnsi="Times New Roman" w:cs="Times New Roman"/>
          <w:sz w:val="28"/>
          <w:szCs w:val="28"/>
        </w:rPr>
        <w:t xml:space="preserve">.11.2024 № 101-п </w:t>
      </w:r>
    </w:p>
    <w:p w:rsidR="00E436CF" w:rsidRDefault="00E436C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E436CF" w:rsidRDefault="007A1C9E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местного бюджета на 2025 год</w:t>
      </w:r>
    </w:p>
    <w:p w:rsidR="00E436CF" w:rsidRDefault="007A1C9E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</w:p>
    <w:p w:rsidR="00E436CF" w:rsidRDefault="007A1C9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бюджета на 2025 год и на плановый период 2026 и 2027 годов (далее – методика) разработана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174.2 </w:t>
      </w:r>
      <w:hyperlink r:id="rId4">
        <w:r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статьей 17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Зубаревский сельсовет Оренбургского района Оренбургской области 18 декабря 2020 года  № 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Зубаревский сельсовет».</w:t>
      </w:r>
      <w:proofErr w:type="gramEnd"/>
    </w:p>
    <w:p w:rsidR="00E436CF" w:rsidRDefault="007A1C9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устанавливает основные подходы к формированию доходов, порядок и методику планирования бюджетных ассигнований расходов бюджета на  2025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2026 и 2027 годов.</w:t>
      </w:r>
    </w:p>
    <w:p w:rsidR="00E436CF" w:rsidRDefault="007A1C9E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основу составления бюджета на 2025-2027 годы положен прогноз социально-экономического развития муниципального образования Зубаревский сельсовет  Оренбургского района  Оренбургской области на 2025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2026 и 2027 годов, бюджетный прогноз муниципального образования Зубаревский сельсовет Оренбургского района  Оренбургской области на долгосрочный период до 2037 года, основные направления бюджетной политики, налоговой политики и муниципальной долговой полит</w:t>
      </w:r>
      <w:r>
        <w:rPr>
          <w:rFonts w:ascii="Times New Roman" w:hAnsi="Times New Roman" w:cs="Times New Roman"/>
          <w:sz w:val="28"/>
          <w:szCs w:val="28"/>
        </w:rPr>
        <w:t>ики на 2025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плановый период 2026 и 2027 годов, а также приоритеты бюджетной политики, налоговой политики и долговой политики, установленные на районном уровне.</w:t>
      </w:r>
    </w:p>
    <w:p w:rsidR="00E436CF" w:rsidRDefault="00E436CF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Прогноз доходов бюджета</w:t>
      </w:r>
    </w:p>
    <w:p w:rsidR="00E436CF" w:rsidRDefault="00E436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прогнозируются с учетом методик, утвержде</w:t>
      </w:r>
      <w:r>
        <w:rPr>
          <w:rFonts w:ascii="Times New Roman" w:hAnsi="Times New Roman" w:cs="Times New Roman"/>
          <w:sz w:val="28"/>
          <w:szCs w:val="28"/>
        </w:rPr>
        <w:t>нных главными администраторами доходов, с учетом следующих особенностей:</w:t>
      </w:r>
    </w:p>
    <w:p w:rsidR="00E436CF" w:rsidRDefault="007A1C9E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Общий прогнозный объем поступлений в бюджет налога на доходы физических лиц (НДФЛ всего) определяется как сумма прогнозных поступлений каждого вида налога.</w:t>
      </w:r>
    </w:p>
    <w:p w:rsidR="00E436CF" w:rsidRDefault="00E436CF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shd w:val="clear" w:color="auto" w:fill="FFFFFF"/>
        <w:tabs>
          <w:tab w:val="left" w:pos="5812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НДФЛ всего = НДФЛ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+ НДФЛ2 + НДФЛ3, где: </w:t>
      </w:r>
    </w:p>
    <w:p w:rsidR="00E436CF" w:rsidRDefault="007A1C9E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НДФЛ всего – объем поступлений налога на доходы физических лиц;</w:t>
      </w:r>
    </w:p>
    <w:p w:rsidR="00E436CF" w:rsidRDefault="007A1C9E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объем поступлений налога на доходы физических лиц с                       доходов, источником которых является налоговый агент, за исключением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E436CF" w:rsidRDefault="007A1C9E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НДФЛ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объем поступлений налога на доходы физических лиц с  доходов, полученных от осущест</w:t>
      </w:r>
      <w:r>
        <w:rPr>
          <w:rFonts w:ascii="Times New Roman" w:eastAsia="Calibri" w:hAnsi="Times New Roman" w:cs="Times New Roman"/>
          <w:sz w:val="28"/>
          <w:szCs w:val="28"/>
        </w:rPr>
        <w:t>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</w:t>
      </w:r>
      <w:r>
        <w:rPr>
          <w:rFonts w:ascii="Times New Roman" w:eastAsia="Calibri" w:hAnsi="Times New Roman" w:cs="Times New Roman"/>
          <w:sz w:val="28"/>
          <w:szCs w:val="28"/>
        </w:rPr>
        <w:t>атьей 227 Налогового кодекса Российской Федерации;</w:t>
      </w:r>
    </w:p>
    <w:p w:rsidR="00E436CF" w:rsidRDefault="007A1C9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Прогнозный объем поступлений налог</w:t>
      </w:r>
      <w:r>
        <w:rPr>
          <w:rFonts w:ascii="Times New Roman" w:eastAsia="Calibri" w:hAnsi="Times New Roman" w:cs="Times New Roman"/>
          <w:sz w:val="28"/>
          <w:szCs w:val="28"/>
        </w:rPr>
        <w:t>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</w:t>
      </w:r>
      <w:r>
        <w:rPr>
          <w:rFonts w:ascii="Times New Roman" w:eastAsia="Calibri" w:hAnsi="Times New Roman" w:cs="Times New Roman"/>
          <w:sz w:val="28"/>
          <w:szCs w:val="28"/>
        </w:rPr>
        <w:t>ФЛ 1), определяется по следующей формуле:</w:t>
      </w:r>
    </w:p>
    <w:p w:rsidR="00E436CF" w:rsidRDefault="00E436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НДФЛ1 = ((ФЗП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) -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Соб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и,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ФЗП – прогнозируемый фонд заработной платы;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ставка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налога; 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налоговые вычеты (имущественные, социальные и отдельные виды налоговых вычетов) за отчетный </w:t>
      </w:r>
      <w:r>
        <w:rPr>
          <w:rFonts w:ascii="Times New Roman" w:eastAsia="Calibri" w:hAnsi="Times New Roman" w:cs="Times New Roman"/>
          <w:sz w:val="28"/>
          <w:szCs w:val="28"/>
        </w:rPr>
        <w:t>год;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уровень собираемости налога;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сумма налога, подлежащая возврату </w:t>
      </w:r>
      <w:r>
        <w:rPr>
          <w:rFonts w:ascii="Times New Roman" w:eastAsia="Calibri" w:hAnsi="Times New Roman" w:cs="Times New Roman"/>
          <w:sz w:val="28"/>
          <w:szCs w:val="28"/>
        </w:rPr>
        <w:t>по представленным налогоплательщиком декларациям (форма отчета 5-ДДК);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коэффициент роста суммы налога, подлежащей возврату </w:t>
      </w:r>
      <w:r>
        <w:rPr>
          <w:rFonts w:ascii="Times New Roman" w:eastAsia="Calibri" w:hAnsi="Times New Roman" w:cs="Times New Roman"/>
          <w:sz w:val="28"/>
          <w:szCs w:val="28"/>
        </w:rPr>
        <w:t>по представленным налогоплательщиком декларациям;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сумма налога от иных налоговых ставок (форма отчета 5-НДФЛ);</w:t>
      </w:r>
    </w:p>
    <w:p w:rsidR="00E436CF" w:rsidRDefault="007A1C9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собираемости определяется согласно данным отчета по форме          1-НМ как частное от деления суммы поступившего налога (без учета сумм налога по иным налоговым ставкам), на сумму исч</w:t>
      </w:r>
      <w:r>
        <w:rPr>
          <w:rFonts w:ascii="Times New Roman" w:hAnsi="Times New Roman" w:cs="Times New Roman"/>
          <w:sz w:val="28"/>
          <w:szCs w:val="28"/>
        </w:rPr>
        <w:t xml:space="preserve">исленного налога </w:t>
      </w:r>
      <w:r>
        <w:rPr>
          <w:rFonts w:ascii="Times New Roman" w:eastAsia="Calibri" w:hAnsi="Times New Roman" w:cs="Times New Roman"/>
          <w:sz w:val="28"/>
          <w:szCs w:val="28"/>
        </w:rPr>
        <w:t>(форма отчета 5-НДФЛ)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</w:t>
      </w:r>
      <w:r>
        <w:rPr>
          <w:rFonts w:ascii="Times New Roman" w:eastAsia="Calibri" w:hAnsi="Times New Roman" w:cs="Times New Roman"/>
          <w:sz w:val="28"/>
          <w:szCs w:val="28"/>
        </w:rPr>
        <w:t>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), рассчитывается исходя из оценки фактического поступления нало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 в текущем году с учетом роста прочих денежных доходов населения по следующей формуле: </w:t>
      </w:r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НДФЛф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НДФЛф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оценка фактических поступлений текущего года;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темп роста прочих денежных доходов населения на очередной финансовый год (показател</w:t>
      </w:r>
      <w:r>
        <w:rPr>
          <w:rFonts w:ascii="Times New Roman" w:eastAsia="Calibri" w:hAnsi="Times New Roman" w:cs="Times New Roman"/>
          <w:sz w:val="28"/>
          <w:szCs w:val="28"/>
        </w:rPr>
        <w:t>и прогноза социально-экономического развития Оренбургской области).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Налогового кодекса Российской Федерации (НДФЛ3), рассчи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  <w:proofErr w:type="gramEnd"/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НДФЛ3= НБ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темп роста прочих денежных доходов населения на очередной финансовый год (показатели прогноза 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Оренбургской области).</w:t>
      </w:r>
    </w:p>
    <w:p w:rsidR="00E436CF" w:rsidRDefault="007A1C9E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</w:t>
      </w:r>
      <w:r>
        <w:rPr>
          <w:rFonts w:ascii="Times New Roman" w:eastAsia="Calibri" w:hAnsi="Times New Roman" w:cs="Times New Roman"/>
          <w:sz w:val="28"/>
          <w:szCs w:val="28"/>
        </w:rPr>
        <w:t>га исходя из выбранного объекта налогообложения:</w:t>
      </w:r>
    </w:p>
    <w:p w:rsidR="00E436CF" w:rsidRDefault="00E436CF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shd w:val="clear" w:color="auto" w:fill="FFFFFF"/>
        <w:tabs>
          <w:tab w:val="left" w:pos="5812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УСН всего = УСН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+ УСН2,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налог, взимаемый с налогоплательщиков, выбравших в качестве объекта налогообложения доходы;</w:t>
      </w:r>
    </w:p>
    <w:p w:rsidR="00E436CF" w:rsidRDefault="007A1C9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налог, взимаемый с налогоплательщиков, выбравших в качестве объекта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логообложения доходы, уменьшенные на величину расходов (в том числе минимальный налог, зачисляемый в бюджеты субъектов Российской Федерации).       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</w:t>
      </w:r>
      <w:r>
        <w:rPr>
          <w:rFonts w:ascii="Times New Roman" w:eastAsia="Calibri" w:hAnsi="Times New Roman" w:cs="Times New Roman"/>
          <w:sz w:val="28"/>
          <w:szCs w:val="28"/>
        </w:rPr>
        <w:t>ложения доходы (УСН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E436CF" w:rsidRDefault="00E436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УСН1 =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НБ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НБ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налоговой базы по налогу, взимаемому с налогоплательщиков, выбравших в качестве объекта налогообложения доходы;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налога;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прогнозируемая сумма страховых взносов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отчет по форме </w:t>
      </w:r>
      <w:r>
        <w:rPr>
          <w:rFonts w:ascii="Times New Roman" w:hAnsi="Times New Roman" w:cs="Times New Roman"/>
          <w:sz w:val="28"/>
          <w:szCs w:val="28"/>
        </w:rPr>
        <w:t>5-УСН).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), рассчитывается исходя из оценки налоговой базы по налогу за отчетный период и </w:t>
      </w:r>
      <w:r>
        <w:rPr>
          <w:rFonts w:ascii="Times New Roman" w:hAnsi="Times New Roman" w:cs="Times New Roman"/>
          <w:sz w:val="28"/>
          <w:szCs w:val="28"/>
        </w:rPr>
        <w:t>коррек</w:t>
      </w:r>
      <w:r>
        <w:rPr>
          <w:rFonts w:ascii="Times New Roman" w:hAnsi="Times New Roman" w:cs="Times New Roman"/>
          <w:sz w:val="28"/>
          <w:szCs w:val="28"/>
        </w:rPr>
        <w:t>тирующей суммы поступлений, учитывающей изменения законодательства по налогу, а также другие факторы,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следующей формуле:</w:t>
      </w:r>
    </w:p>
    <w:p w:rsidR="00E436CF" w:rsidRDefault="00E436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УСН2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</w:t>
      </w:r>
      <w:r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НБ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</w:t>
      </w:r>
      <w:r>
        <w:rPr>
          <w:rFonts w:ascii="Times New Roman" w:eastAsia="Calibri" w:hAnsi="Times New Roman" w:cs="Times New Roman"/>
          <w:sz w:val="28"/>
          <w:szCs w:val="28"/>
        </w:rPr>
        <w:t>ъекта налогообложения доходы, уменьшенные на величину расходов;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сумма начисленного минимального налога в отчетном финансовом году.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Прогнозируемый объем поступлений единого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на вмененный доход для отдельных видов деятельности (ЕНВД) рассчитывается по следующей формуле:</w:t>
      </w:r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ЕНВД = НБ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НБ – налоговая база прогнозируемого периода;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 – темп роста/снижения налоговой базы по единому налогу на вмененный доход дл</w:t>
      </w:r>
      <w:r>
        <w:rPr>
          <w:rFonts w:ascii="Times New Roman" w:eastAsia="Calibri" w:hAnsi="Times New Roman" w:cs="Times New Roman"/>
          <w:sz w:val="28"/>
          <w:szCs w:val="28"/>
        </w:rPr>
        <w:t>я отдельных видов деятельности;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ставка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налога;</w:t>
      </w:r>
    </w:p>
    <w:p w:rsidR="00E436CF" w:rsidRDefault="007A1C9E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ожидаемая сумма страховых взносов.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Прогнозируемый объем страховых взносов рассчитывается на уровне суммы страховых взносов отчетного периода.</w:t>
      </w:r>
    </w:p>
    <w:p w:rsidR="00E436CF" w:rsidRDefault="00E436CF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Расчет прогнозируемого объема поступлений единого сель</w:t>
      </w:r>
      <w:r>
        <w:rPr>
          <w:rFonts w:ascii="Times New Roman" w:eastAsia="Calibri" w:hAnsi="Times New Roman" w:cs="Times New Roman"/>
          <w:sz w:val="28"/>
          <w:szCs w:val="28"/>
        </w:rPr>
        <w:t>скохозяйственного налога (ЕСХН) осуществляется по следующей формуле:</w:t>
      </w:r>
    </w:p>
    <w:p w:rsidR="00E436CF" w:rsidRDefault="007A1C9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ЕСХН =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оценка начислений налога в текущем периоде;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год.</w:t>
      </w:r>
    </w:p>
    <w:p w:rsidR="00E436CF" w:rsidRDefault="007A1C9E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5. Неналоговые</w:t>
      </w:r>
      <w:r>
        <w:rPr>
          <w:szCs w:val="28"/>
        </w:rPr>
        <w:t xml:space="preserve"> доходы, подлежащие зачислению в районный бюджет, определены на основании сведений, представленных главными администраторами (администраторами) доходов.</w:t>
      </w:r>
    </w:p>
    <w:p w:rsidR="00E436CF" w:rsidRDefault="007A1C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Прогнозирование доходов бюджета осуществляется в тысячах рублей.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налогов в конс</w:t>
      </w:r>
      <w:r>
        <w:rPr>
          <w:rFonts w:ascii="Times New Roman" w:hAnsi="Times New Roman" w:cs="Times New Roman"/>
          <w:sz w:val="28"/>
          <w:szCs w:val="28"/>
        </w:rPr>
        <w:t>олидированный бюджет, применяемых при определении величины налогового потенциала муниципальных образований сельских поселений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отношении земельного налога, взимаемого по ставкам, установленным в соответствии с подпунктом 1 пункта 1 статьи 394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прогноз поступлений рассчитывается по следующей формуле: </w:t>
      </w:r>
    </w:p>
    <w:p w:rsidR="00E436CF" w:rsidRDefault="00E4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E436CF" w:rsidRDefault="007A1C9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земельный налог;</w:t>
      </w:r>
    </w:p>
    <w:p w:rsidR="00E436CF" w:rsidRDefault="007A1C9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</w:t>
      </w:r>
      <w:r>
        <w:rPr>
          <w:rFonts w:ascii="Times New Roman" w:hAnsi="Times New Roman" w:cs="Times New Roman"/>
          <w:sz w:val="28"/>
          <w:szCs w:val="28"/>
        </w:rPr>
        <w:t>ой налоговой службы по Оренбургской области по состоянию на 1 января 2020 года;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</w:t>
      </w:r>
      <w:r>
        <w:rPr>
          <w:rFonts w:ascii="Times New Roman" w:hAnsi="Times New Roman" w:cs="Times New Roman"/>
          <w:sz w:val="28"/>
          <w:szCs w:val="28"/>
        </w:rPr>
        <w:t>логового кодекса Российской Федерации, рассчитывается по следующей формуле:</w:t>
      </w:r>
    </w:p>
    <w:p w:rsidR="00E436CF" w:rsidRDefault="00E4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E436CF" w:rsidRDefault="007A1C9E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земельный налог;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</w:t>
      </w:r>
      <w:r>
        <w:rPr>
          <w:rFonts w:ascii="Times New Roman" w:hAnsi="Times New Roman" w:cs="Times New Roman"/>
          <w:sz w:val="28"/>
          <w:szCs w:val="28"/>
        </w:rPr>
        <w:t>ы по Оренбургской области по состоянию на 1 января 2020 года;</w:t>
      </w:r>
    </w:p>
    <w:p w:rsidR="00E436CF" w:rsidRDefault="007A1C9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E436CF" w:rsidRDefault="00E436CF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6CF" w:rsidRDefault="007A1C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Прогноз расходов местного бюджета</w:t>
      </w:r>
    </w:p>
    <w:p w:rsidR="00E436CF" w:rsidRDefault="00E436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CF" w:rsidRDefault="007A1C9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подходы к формированию объемов бюджетного </w:t>
      </w:r>
      <w:r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E436CF" w:rsidRDefault="007A1C9E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Расходы местного бюджета на 2025-2027 годы формируются исходя из предельных объемов бюджетных ассигнований, доведенных до главных распорядителей средств местного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В состав бюджетных ассигнований на исполнение действующих расходны</w:t>
      </w:r>
      <w:r>
        <w:rPr>
          <w:rFonts w:ascii="Times New Roman" w:hAnsi="Times New Roman"/>
          <w:color w:val="000000"/>
          <w:sz w:val="28"/>
          <w:szCs w:val="28"/>
        </w:rPr>
        <w:t>х обязательств поселения включаются бюджетные ассигнования, обусловленные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</w:t>
      </w:r>
      <w:r>
        <w:rPr>
          <w:rFonts w:ascii="Times New Roman" w:hAnsi="Times New Roman"/>
          <w:color w:val="000000"/>
          <w:sz w:val="28"/>
          <w:szCs w:val="28"/>
        </w:rPr>
        <w:t>, признанию утратившими силу в 2024–2026 годах. При этом объем бюджетных ассигнований на исполнение действующих расходных обязательств поселения может рассчитываться с учетом индексации (изменения), если это предусмотрено данными нормативными правовыми акт</w:t>
      </w:r>
      <w:r>
        <w:rPr>
          <w:rFonts w:ascii="Times New Roman" w:hAnsi="Times New Roman"/>
          <w:color w:val="000000"/>
          <w:sz w:val="28"/>
          <w:szCs w:val="28"/>
        </w:rPr>
        <w:t>ами, договорами (соглашениями).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редельные объемы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включены расходы:</w:t>
      </w:r>
    </w:p>
    <w:p w:rsidR="00E436CF" w:rsidRDefault="007A1C9E">
      <w:pPr>
        <w:tabs>
          <w:tab w:val="left" w:pos="107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оплату труда с начислениями отдельным категориям работников бюджетной сферы, поименованным в Указах Президента Российской Федерации, с учетом расходов на обес</w:t>
      </w:r>
      <w:r>
        <w:rPr>
          <w:rFonts w:ascii="Times New Roman" w:hAnsi="Times New Roman"/>
          <w:sz w:val="28"/>
          <w:szCs w:val="28"/>
        </w:rPr>
        <w:t xml:space="preserve">печение </w:t>
      </w:r>
      <w:proofErr w:type="gramStart"/>
      <w:r>
        <w:rPr>
          <w:rFonts w:ascii="Times New Roman" w:hAnsi="Times New Roman"/>
          <w:sz w:val="28"/>
          <w:szCs w:val="28"/>
        </w:rPr>
        <w:t>достижения целевых показателей повышения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увеличением фонда оплаты туда с 1 января 2025 года (51100,00 руб.)</w:t>
      </w:r>
      <w:r>
        <w:rPr>
          <w:rFonts w:ascii="Times New Roman" w:hAnsi="Times New Roman"/>
          <w:sz w:val="28"/>
          <w:szCs w:val="28"/>
        </w:rPr>
        <w:t>;</w:t>
      </w:r>
    </w:p>
    <w:p w:rsidR="00E436CF" w:rsidRDefault="007A1C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оплату труда с начислениями работникам, не поименованным в Указах Президента Российской Федерации;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с учетом увеличения общего объема данных расходов в 2024 году на 4,5 процента;</w:t>
      </w:r>
    </w:p>
    <w:p w:rsidR="00E436CF" w:rsidRDefault="007A1C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предельных объемах бюджетных ассигнований учитываются расходы на обеспечение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 работников бюджетной сферы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решениями, пр</w:t>
      </w:r>
      <w:r>
        <w:rPr>
          <w:rFonts w:ascii="Times New Roman" w:hAnsi="Times New Roman"/>
          <w:sz w:val="28"/>
          <w:szCs w:val="28"/>
        </w:rPr>
        <w:t>инятыми на федеральном уровне.</w:t>
      </w:r>
    </w:p>
    <w:p w:rsidR="00E436CF" w:rsidRDefault="007A1C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 оплаты труда работников бюджетной сферы определяется с учетом сохранения в 2025–2027 годах начислений на выплаты по оплате труда в размере 30,2 процента (включая тарифы страховых взносов на обязательное страхование от </w:t>
      </w:r>
      <w:r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 в размере 0,2 процента).</w:t>
      </w:r>
    </w:p>
    <w:p w:rsidR="00E436CF" w:rsidRDefault="007A1C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предельных объемов бюджетных ассигнований местного бюджета учитывается необходимость выполнения публичных обязательств перед физическими лицами, расх</w:t>
      </w:r>
      <w:r>
        <w:rPr>
          <w:rFonts w:ascii="Times New Roman" w:hAnsi="Times New Roman" w:cs="Times New Roman"/>
          <w:sz w:val="28"/>
          <w:szCs w:val="28"/>
        </w:rPr>
        <w:t>одные обязательства по оплате труда и начислениям на выплаты по оплате труда, расходные обязательства, связанные с обслуживанием муниципального долга, а также учтены расходы на реализацию планов мероприятий, обеспечивающих решение задач, поставленных в Ука</w:t>
      </w:r>
      <w:r>
        <w:rPr>
          <w:rFonts w:ascii="Times New Roman" w:hAnsi="Times New Roman" w:cs="Times New Roman"/>
          <w:sz w:val="28"/>
          <w:szCs w:val="28"/>
        </w:rPr>
        <w:t>зах Президента Российской Федерации.</w:t>
      </w:r>
      <w:proofErr w:type="gramEnd"/>
    </w:p>
    <w:p w:rsidR="00E436CF" w:rsidRDefault="007A1C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отсутствии возможностей для наращивания общего объема расходов бюджета г</w:t>
      </w:r>
      <w:r>
        <w:rPr>
          <w:rFonts w:ascii="Times New Roman" w:hAnsi="Times New Roman"/>
          <w:bCs/>
          <w:iCs/>
          <w:sz w:val="28"/>
          <w:szCs w:val="28"/>
        </w:rPr>
        <w:t xml:space="preserve">лавные распорядители средств бюджета самостоятельно распределяют доведенные до них предельные объемы бюджетных ассигнований </w:t>
      </w:r>
      <w:r>
        <w:rPr>
          <w:rFonts w:ascii="Times New Roman" w:hAnsi="Times New Roman"/>
          <w:sz w:val="28"/>
          <w:szCs w:val="28"/>
        </w:rPr>
        <w:t>исходя из приори</w:t>
      </w:r>
      <w:r>
        <w:rPr>
          <w:rFonts w:ascii="Times New Roman" w:hAnsi="Times New Roman"/>
          <w:sz w:val="28"/>
          <w:szCs w:val="28"/>
        </w:rPr>
        <w:t>тетности вышеуказанных направлений.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Распределение предельных объемов бюджетных ассигнований на исполнение расходных обязательств осуществляется с учетом необходимости достижения наилучших значений показателей и повышения эффективности бюджетных расходов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Предложения по оптимизации бюджетных расходов на финансовое обеспечение действующих расходных обязатель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едставляются главными распорядителями средств бюджета при внесении в установленные сроки изменений в нормативные правовые акты, определяющие р</w:t>
      </w:r>
      <w:r>
        <w:rPr>
          <w:rFonts w:ascii="Times New Roman" w:hAnsi="Times New Roman" w:cs="Times New Roman"/>
          <w:bCs/>
          <w:sz w:val="28"/>
          <w:szCs w:val="28"/>
        </w:rPr>
        <w:t>асходные обязательства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Местный бюджет на 2025 год и на плановый период 2026 и 2027 годов формируется на основе муниципальных программ муниципального образования Зубаревский сельсовет Оренбургского района Оренбургской области.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бюджетных </w:t>
      </w:r>
      <w:r>
        <w:rPr>
          <w:rFonts w:ascii="Times New Roman" w:hAnsi="Times New Roman" w:cs="Times New Roman"/>
          <w:sz w:val="28"/>
          <w:szCs w:val="28"/>
        </w:rPr>
        <w:t>ассигнований на реализацию мероприятий муниципальных программ планируются с учетом разработки и утверждения   муниципальных программ на период реализации 2025–2027 годов, направленных на достижение значений индикативных показателей.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Непрограммные расходы п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ланируются исходя из обеспечения расходных обязательств муниципального образования Зубаревский сельсовет, приоритетов развития и необходимости достижения результатов деятельности. </w:t>
      </w:r>
    </w:p>
    <w:p w:rsidR="00E436CF" w:rsidRDefault="007A1C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 задания на оказание муниципальных услуг (выполнение работ</w:t>
      </w:r>
      <w:r>
        <w:rPr>
          <w:rFonts w:ascii="Times New Roman" w:hAnsi="Times New Roman"/>
          <w:sz w:val="28"/>
          <w:szCs w:val="28"/>
        </w:rPr>
        <w:t xml:space="preserve">  МБУК ЦКиБО «Зубаревский»  формируются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а также в соответствии с региональным перечнем (классификаторо</w:t>
      </w:r>
      <w:r>
        <w:rPr>
          <w:rFonts w:ascii="Times New Roman" w:hAnsi="Times New Roman"/>
          <w:sz w:val="28"/>
          <w:szCs w:val="28"/>
        </w:rPr>
        <w:t>м) государственных (муниципальных) услуг, не включенных в указанные общероссийские базовые перечни (классификаторы).</w:t>
      </w:r>
      <w:proofErr w:type="gramEnd"/>
    </w:p>
    <w:p w:rsidR="00E436CF" w:rsidRDefault="007A1C9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бюджета на 2025 год и на плановый период 2026 и 2027 годы затраты на содержание имущества уч</w:t>
      </w:r>
      <w:r>
        <w:rPr>
          <w:rFonts w:ascii="Times New Roman" w:hAnsi="Times New Roman"/>
          <w:sz w:val="28"/>
          <w:szCs w:val="28"/>
        </w:rPr>
        <w:softHyphen/>
        <w:t xml:space="preserve">реждения, не используемого </w:t>
      </w:r>
      <w:r>
        <w:rPr>
          <w:rFonts w:ascii="Times New Roman" w:hAnsi="Times New Roman"/>
          <w:sz w:val="28"/>
          <w:szCs w:val="28"/>
        </w:rPr>
        <w:lastRenderedPageBreak/>
        <w:t>дл</w:t>
      </w:r>
      <w:r>
        <w:rPr>
          <w:rFonts w:ascii="Times New Roman" w:hAnsi="Times New Roman"/>
          <w:sz w:val="28"/>
          <w:szCs w:val="28"/>
        </w:rPr>
        <w:t>я оказания муниципальных услуг (выполне</w:t>
      </w:r>
      <w:r>
        <w:rPr>
          <w:rFonts w:ascii="Times New Roman" w:hAnsi="Times New Roman"/>
          <w:sz w:val="28"/>
          <w:szCs w:val="28"/>
        </w:rPr>
        <w:softHyphen/>
        <w:t>ния работ) и для общехозяйственных нужд, не учитываются.</w:t>
      </w:r>
    </w:p>
    <w:p w:rsidR="00E436CF" w:rsidRDefault="007A1C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Затраты на уплату налога на имущество и земельного налога (далее – имущественные налоги) рассчитываются в соответствии с налоговым законодательством. Для бю</w:t>
      </w:r>
      <w:r>
        <w:rPr>
          <w:rFonts w:ascii="Times New Roman" w:hAnsi="Times New Roman" w:cs="Times New Roman"/>
          <w:sz w:val="28"/>
          <w:szCs w:val="28"/>
        </w:rPr>
        <w:t>джетных и автономных учреждений затраты на уплату имущественных налогов учитываются в объемах финансового обеспечения выполнения муниципальных заданий на оказание муниципальных услуг (выполнение работ).</w:t>
      </w:r>
    </w:p>
    <w:p w:rsidR="00E436CF" w:rsidRDefault="00E436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6CF" w:rsidRDefault="007A1C9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Отраслевые особенности формирования расходов ме</w:t>
      </w:r>
      <w:r>
        <w:rPr>
          <w:rFonts w:ascii="Times New Roman" w:hAnsi="Times New Roman" w:cs="Times New Roman"/>
          <w:b/>
          <w:sz w:val="28"/>
          <w:szCs w:val="28"/>
        </w:rPr>
        <w:t>стного бюджета</w:t>
      </w:r>
    </w:p>
    <w:p w:rsidR="00E436CF" w:rsidRDefault="00E436CF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36CF" w:rsidRDefault="007A1C9E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сфере муниципального управления </w:t>
      </w:r>
    </w:p>
    <w:p w:rsidR="00E436CF" w:rsidRDefault="007A1C9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оплату труда  работников органов местного самоуправления  планируются исходя из должностных окладов работников, установленных в штатных расписаниях, и условий оплаты труда в соответствии с По</w:t>
      </w:r>
      <w:r>
        <w:rPr>
          <w:rFonts w:ascii="Times New Roman" w:hAnsi="Times New Roman" w:cs="Times New Roman"/>
          <w:sz w:val="28"/>
          <w:szCs w:val="28"/>
        </w:rPr>
        <w:t>ложениями о порядке  оплаты труда работников органов местного самоуправления и муниципальных казенных  учреждений, утвержденными соответствующими нормативно - правовыми актами, а также с учетом фактических выплат, производимых на основании нормативных акто</w:t>
      </w:r>
      <w:r>
        <w:rPr>
          <w:rFonts w:ascii="Times New Roman" w:hAnsi="Times New Roman" w:cs="Times New Roman"/>
          <w:sz w:val="28"/>
          <w:szCs w:val="28"/>
        </w:rPr>
        <w:t>в органов государственной  и муниципальной власти.</w:t>
      </w:r>
      <w:proofErr w:type="gramEnd"/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Предусмотрена индексация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окладов денежного содержания работников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января 2025 года на 8,3 % 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  в </w:t>
      </w:r>
      <w:r>
        <w:rPr>
          <w:rFonts w:ascii="Times New Roman" w:hAnsi="Times New Roman" w:cs="Times New Roman"/>
          <w:sz w:val="28"/>
          <w:szCs w:val="28"/>
        </w:rPr>
        <w:t>пределах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служащих, установленного Правительством Оренбургской области.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на материальные нужды органов местного самоуправления определены исходя из общих подходов к формированию объемов бюджетного финансирования муниципальных бюджетных учреждений.   </w:t>
      </w:r>
    </w:p>
    <w:p w:rsidR="00E436CF" w:rsidRDefault="007A1C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 счет субвенций из областного бюджета предусмотрены расходы:</w:t>
      </w:r>
    </w:p>
    <w:p w:rsidR="00E436CF" w:rsidRDefault="007A1C9E">
      <w:pPr>
        <w:pStyle w:val="ad"/>
        <w:ind w:firstLine="709"/>
        <w:jc w:val="both"/>
      </w:pPr>
      <w:r>
        <w:t xml:space="preserve">- в 2025–2027 </w:t>
      </w:r>
      <w:r>
        <w:t>годах на осуществление первичного воинского учета на территориях, где отсутствуют военные комиссариаты за счет средств федерального бюджета.</w:t>
      </w:r>
    </w:p>
    <w:p w:rsidR="00E436CF" w:rsidRDefault="00E436CF">
      <w:pPr>
        <w:pStyle w:val="ad"/>
        <w:ind w:firstLine="709"/>
        <w:jc w:val="both"/>
      </w:pPr>
    </w:p>
    <w:p w:rsidR="00E436CF" w:rsidRDefault="007A1C9E">
      <w:pPr>
        <w:pStyle w:val="ConsPlusNormal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отраслях социальной сферы</w:t>
      </w:r>
    </w:p>
    <w:p w:rsidR="00E436CF" w:rsidRDefault="007A1C9E">
      <w:pPr>
        <w:pStyle w:val="ab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 отраслям социальной сферы учтены расходы, необходимые на финансовое обеспечение </w:t>
      </w:r>
      <w:r>
        <w:rPr>
          <w:sz w:val="28"/>
          <w:szCs w:val="28"/>
        </w:rPr>
        <w:t>выполнения муниципальных заданий и предоставление иных субсидий:</w:t>
      </w:r>
    </w:p>
    <w:p w:rsidR="00E436CF" w:rsidRDefault="007A1C9E">
      <w:pPr>
        <w:pStyle w:val="ab"/>
        <w:ind w:left="0" w:firstLine="709"/>
        <w:rPr>
          <w:sz w:val="28"/>
          <w:szCs w:val="28"/>
        </w:rPr>
      </w:pPr>
      <w:r>
        <w:rPr>
          <w:sz w:val="28"/>
          <w:szCs w:val="28"/>
        </w:rPr>
        <w:t>- муниципальному бюджетному учреждению культуры.</w:t>
      </w:r>
    </w:p>
    <w:sectPr w:rsidR="00E436CF" w:rsidSect="00E436CF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436CF"/>
    <w:rsid w:val="007A1C9E"/>
    <w:rsid w:val="00E4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B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920B3"/>
    <w:pPr>
      <w:keepNext/>
      <w:widowControl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53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5920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5920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5920B3"/>
    <w:rPr>
      <w:rFonts w:ascii="Times New Roman" w:hAnsi="Times New Roman" w:cs="Times New Roman"/>
      <w:b/>
      <w:bCs/>
    </w:rPr>
  </w:style>
  <w:style w:type="character" w:customStyle="1" w:styleId="3">
    <w:name w:val="Основной текст 3 Знак"/>
    <w:basedOn w:val="a0"/>
    <w:link w:val="30"/>
    <w:uiPriority w:val="99"/>
    <w:qFormat/>
    <w:rsid w:val="005920B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qFormat/>
    <w:locked/>
    <w:rsid w:val="005920B3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87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rsid w:val="00DA7E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qFormat/>
    <w:rsid w:val="00DA7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uiPriority w:val="10"/>
    <w:qFormat/>
    <w:rsid w:val="00DA7E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0">
    <w:name w:val="Название Знак1"/>
    <w:link w:val="ad"/>
    <w:uiPriority w:val="99"/>
    <w:qFormat/>
    <w:locked/>
    <w:rsid w:val="00DA7E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53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rsid w:val="00E436CF"/>
    <w:rPr>
      <w:color w:val="000080"/>
      <w:u w:val="single"/>
    </w:rPr>
  </w:style>
  <w:style w:type="paragraph" w:customStyle="1" w:styleId="af">
    <w:name w:val="Заголовок"/>
    <w:basedOn w:val="a"/>
    <w:next w:val="a4"/>
    <w:qFormat/>
    <w:rsid w:val="00E436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rsid w:val="005920B3"/>
    <w:pPr>
      <w:widowControl/>
      <w:jc w:val="both"/>
    </w:pPr>
    <w:rPr>
      <w:rFonts w:ascii="Times New Roman" w:hAnsi="Times New Roman" w:cs="Times New Roman"/>
      <w:sz w:val="28"/>
      <w:szCs w:val="24"/>
    </w:rPr>
  </w:style>
  <w:style w:type="paragraph" w:styleId="af0">
    <w:name w:val="List"/>
    <w:basedOn w:val="a4"/>
    <w:rsid w:val="00E436CF"/>
    <w:rPr>
      <w:rFonts w:cs="Arial"/>
    </w:rPr>
  </w:style>
  <w:style w:type="paragraph" w:customStyle="1" w:styleId="Caption">
    <w:name w:val="Caption"/>
    <w:basedOn w:val="a"/>
    <w:qFormat/>
    <w:rsid w:val="00E436CF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rsid w:val="00E436CF"/>
    <w:pPr>
      <w:suppressLineNumbers/>
    </w:pPr>
  </w:style>
  <w:style w:type="paragraph" w:styleId="af2">
    <w:name w:val="Normal (Web)"/>
    <w:basedOn w:val="a"/>
    <w:qFormat/>
    <w:rsid w:val="005920B3"/>
    <w:pPr>
      <w:widowControl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"/>
    <w:uiPriority w:val="99"/>
    <w:unhideWhenUsed/>
    <w:qFormat/>
    <w:rsid w:val="005920B3"/>
    <w:pPr>
      <w:spacing w:after="120"/>
    </w:pPr>
    <w:rPr>
      <w:sz w:val="16"/>
      <w:szCs w:val="16"/>
    </w:rPr>
  </w:style>
  <w:style w:type="paragraph" w:styleId="a7">
    <w:name w:val="No Spacing"/>
    <w:link w:val="a6"/>
    <w:uiPriority w:val="1"/>
    <w:qFormat/>
    <w:rsid w:val="005920B3"/>
    <w:rPr>
      <w:rFonts w:cs="Times New Roman"/>
    </w:rPr>
  </w:style>
  <w:style w:type="paragraph" w:styleId="af3">
    <w:name w:val="List Paragraph"/>
    <w:basedOn w:val="a"/>
    <w:qFormat/>
    <w:rsid w:val="005920B3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5920B3"/>
    <w:pPr>
      <w:widowControl/>
      <w:tabs>
        <w:tab w:val="left" w:pos="6946"/>
      </w:tabs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qFormat/>
    <w:rsid w:val="00987C0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DA7E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DA7E86"/>
    <w:pPr>
      <w:widowControl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qFormat/>
    <w:rsid w:val="00DA7E86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10"/>
    <w:uiPriority w:val="99"/>
    <w:qFormat/>
    <w:rsid w:val="00DA7E86"/>
    <w:pPr>
      <w:widowControl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qFormat/>
    <w:rsid w:val="00DA7E86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2638</Words>
  <Characters>15037</Characters>
  <Application>Microsoft Office Word</Application>
  <DocSecurity>0</DocSecurity>
  <Lines>125</Lines>
  <Paragraphs>35</Paragraphs>
  <ScaleCrop>false</ScaleCrop>
  <Company>Microsoft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002</cp:lastModifiedBy>
  <cp:revision>4</cp:revision>
  <cp:lastPrinted>2022-11-16T09:41:00Z</cp:lastPrinted>
  <dcterms:created xsi:type="dcterms:W3CDTF">2024-11-18T10:22:00Z</dcterms:created>
  <dcterms:modified xsi:type="dcterms:W3CDTF">2024-11-19T07:09:00Z</dcterms:modified>
  <dc:language>ru-RU</dc:language>
</cp:coreProperties>
</file>