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AD" w:rsidRDefault="008C2355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25DAD" w:rsidRDefault="008C2355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D25DAD" w:rsidRDefault="008C2355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D25DAD" w:rsidRDefault="008C2355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ЗУБАРЕВСКИЙ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</w:p>
    <w:p w:rsidR="00D25DAD" w:rsidRDefault="008C2355">
      <w:pPr>
        <w:pStyle w:val="a4"/>
        <w:tabs>
          <w:tab w:val="left" w:pos="4536"/>
        </w:tabs>
        <w:ind w:right="4819"/>
        <w:jc w:val="center"/>
        <w:rPr>
          <w:b/>
          <w:szCs w:val="28"/>
        </w:rPr>
      </w:pPr>
      <w:r>
        <w:rPr>
          <w:b/>
          <w:szCs w:val="28"/>
        </w:rPr>
        <w:t>ОРЕНБУРГСКОГО РАЙОНА</w:t>
      </w:r>
    </w:p>
    <w:p w:rsidR="00D25DAD" w:rsidRDefault="008C2355">
      <w:pPr>
        <w:pStyle w:val="a4"/>
        <w:tabs>
          <w:tab w:val="left" w:pos="4536"/>
        </w:tabs>
        <w:ind w:right="4819"/>
        <w:jc w:val="center"/>
        <w:rPr>
          <w:b/>
          <w:szCs w:val="28"/>
        </w:rPr>
      </w:pPr>
      <w:r>
        <w:rPr>
          <w:b/>
          <w:szCs w:val="28"/>
        </w:rPr>
        <w:t>ОРЕНБУРГСКОЙ ОБЛАСТИ</w:t>
      </w:r>
    </w:p>
    <w:p w:rsidR="00D25DAD" w:rsidRDefault="00D25DAD">
      <w:pPr>
        <w:pStyle w:val="a4"/>
        <w:tabs>
          <w:tab w:val="left" w:pos="4536"/>
        </w:tabs>
        <w:ind w:right="4819"/>
        <w:jc w:val="center"/>
        <w:rPr>
          <w:b/>
          <w:szCs w:val="28"/>
        </w:rPr>
      </w:pPr>
    </w:p>
    <w:p w:rsidR="00D25DAD" w:rsidRDefault="008C2355">
      <w:pPr>
        <w:pStyle w:val="Heading2"/>
        <w:tabs>
          <w:tab w:val="left" w:pos="4536"/>
        </w:tabs>
        <w:spacing w:before="0"/>
        <w:ind w:right="481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 С Т А Н О В Л Е Н И Е</w:t>
      </w:r>
    </w:p>
    <w:p w:rsidR="00D25DAD" w:rsidRDefault="00D25DAD">
      <w:pPr>
        <w:tabs>
          <w:tab w:val="left" w:pos="4536"/>
          <w:tab w:val="left" w:pos="4860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DAD" w:rsidRDefault="008C2355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13.11.2025  №  29-п</w:t>
      </w:r>
    </w:p>
    <w:p w:rsidR="00D25DAD" w:rsidRDefault="00D25DAD">
      <w:pPr>
        <w:tabs>
          <w:tab w:val="left" w:pos="4536"/>
        </w:tabs>
        <w:ind w:right="4819"/>
        <w:rPr>
          <w:rFonts w:ascii="Times New Roman" w:hAnsi="Times New Roman" w:cs="Times New Roman"/>
          <w:b/>
          <w:sz w:val="28"/>
          <w:szCs w:val="28"/>
        </w:rPr>
      </w:pPr>
    </w:p>
    <w:p w:rsidR="00D25DAD" w:rsidRDefault="008C2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методике формирования местного </w:t>
      </w:r>
    </w:p>
    <w:p w:rsidR="00D25DAD" w:rsidRDefault="008C2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на 202</w:t>
      </w:r>
      <w:r w:rsidR="00952B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плановый</w:t>
      </w:r>
    </w:p>
    <w:p w:rsidR="00D25DAD" w:rsidRDefault="008C2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</w:t>
      </w:r>
      <w:r w:rsidR="00952B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52B9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D25DAD" w:rsidRDefault="00D25DAD">
      <w:pPr>
        <w:spacing w:line="312" w:lineRule="atLeast"/>
        <w:ind w:firstLine="375"/>
        <w:jc w:val="both"/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jc w:val="both"/>
        <w:rPr>
          <w:sz w:val="28"/>
          <w:szCs w:val="28"/>
        </w:rPr>
      </w:pPr>
    </w:p>
    <w:p w:rsidR="00D25DAD" w:rsidRDefault="008C2355">
      <w:pPr>
        <w:tabs>
          <w:tab w:val="left" w:pos="709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решения Совета депутатов муниципального образования Зубаревский сельсовет  от 17 июня 2022 года  № 138 «Об утверждении Положения о бюджетном процессе в муниципальном образовании Зубаревский сельсовет  Оренбургского района Оренбургской области», руководствуясь Уставом муниципального образования Зубаревский сельсовет  Оренбургского района Оренбургской области, и  в  целях подготовки проекта бюджета на  2026 год и на плановый период 2027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2028 годов:</w:t>
      </w:r>
    </w:p>
    <w:p w:rsidR="00D25DAD" w:rsidRDefault="008C2355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методику формирования местного бюджета на 2026 год и на плановый период 2027 и 2028 годов согласно приложению.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D25DAD" w:rsidRDefault="00D25DAD">
      <w:pPr>
        <w:pStyle w:val="af2"/>
        <w:shd w:val="clear" w:color="auto" w:fill="FFFFFF"/>
        <w:ind w:firstLine="709"/>
        <w:jc w:val="both"/>
        <w:rPr>
          <w:sz w:val="28"/>
          <w:szCs w:val="28"/>
        </w:rPr>
      </w:pPr>
    </w:p>
    <w:p w:rsidR="00D25DAD" w:rsidRDefault="00D25DAD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D25DAD" w:rsidRDefault="008C2355">
      <w:pPr>
        <w:spacing w:line="312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                             </w:t>
      </w:r>
      <w:r w:rsidR="00DC6DF9">
        <w:rPr>
          <w:rFonts w:ascii="Times New Roman" w:hAnsi="Times New Roman" w:cs="Times New Roman"/>
          <w:sz w:val="28"/>
          <w:szCs w:val="28"/>
        </w:rPr>
        <w:t>Л.А. Малиночка</w:t>
      </w:r>
    </w:p>
    <w:p w:rsidR="00D25DAD" w:rsidRDefault="00D25DAD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8C2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Счетной палате района, прокуратуре района, в дело</w:t>
      </w: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</w:p>
    <w:p w:rsidR="00D25DAD" w:rsidRDefault="00D25D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5DAD" w:rsidRDefault="00D25DAD">
      <w:pPr>
        <w:jc w:val="right"/>
        <w:rPr>
          <w:sz w:val="28"/>
          <w:szCs w:val="28"/>
        </w:rPr>
      </w:pPr>
    </w:p>
    <w:p w:rsidR="00D25DAD" w:rsidRDefault="008C2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  </w:t>
      </w:r>
    </w:p>
    <w:p w:rsidR="00D25DAD" w:rsidRDefault="008C2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25DAD" w:rsidRDefault="008C2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25DAD" w:rsidRDefault="008C2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Зубаревский сельсовет</w:t>
      </w:r>
    </w:p>
    <w:p w:rsidR="00D25DAD" w:rsidRDefault="008C2355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13.11.2025 № 29-п </w:t>
      </w:r>
    </w:p>
    <w:p w:rsidR="00D25DAD" w:rsidRDefault="00D25DA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5DAD" w:rsidRDefault="008C2355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D25DAD" w:rsidRDefault="008C2355">
      <w:pPr>
        <w:tabs>
          <w:tab w:val="left" w:pos="170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местного бюджета на 2026 год</w:t>
      </w:r>
    </w:p>
    <w:p w:rsidR="00D25DAD" w:rsidRDefault="008C2355">
      <w:pPr>
        <w:tabs>
          <w:tab w:val="left" w:pos="170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плановый период 2027 и 2028 годов</w:t>
      </w:r>
    </w:p>
    <w:p w:rsidR="008C2355" w:rsidRDefault="008C2355">
      <w:pPr>
        <w:tabs>
          <w:tab w:val="left" w:pos="170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5DAD" w:rsidRDefault="008C2355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Настоящая методика</w:t>
      </w:r>
      <w:r w:rsidR="00952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бюджета на 202</w:t>
      </w:r>
      <w:r w:rsidR="00952B91">
        <w:rPr>
          <w:rFonts w:ascii="Times New Roman" w:hAnsi="Times New Roman" w:cs="Times New Roman"/>
          <w:sz w:val="28"/>
          <w:szCs w:val="28"/>
        </w:rPr>
        <w:t>6 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52B9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(далее – методика) разработана в соответствии со статьей 174.2 </w:t>
      </w:r>
      <w:hyperlink r:id="rId5">
        <w:r>
          <w:rPr>
            <w:rFonts w:ascii="Times New Roman" w:hAnsi="Times New Roman" w:cs="Times New Roman"/>
            <w:color w:val="000000"/>
            <w:sz w:val="28"/>
            <w:szCs w:val="28"/>
          </w:rPr>
          <w:t>Бюджетного кодекса Российской Федерации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статьей 17 </w:t>
      </w:r>
      <w:r>
        <w:rPr>
          <w:rFonts w:ascii="Times New Roman" w:hAnsi="Times New Roman" w:cs="Times New Roman"/>
          <w:sz w:val="28"/>
          <w:szCs w:val="28"/>
        </w:rPr>
        <w:t>решения Совета депутатов муниципального образования Зубаревский сельсовет Оренбургского района Оренбургской области 18 декабря 2020 года  № 7 «Об утверждении Положения о бюджетном процессе в муниципальном образовании Зубаревский сельсовет».</w:t>
      </w:r>
      <w:proofErr w:type="gramEnd"/>
    </w:p>
    <w:p w:rsidR="00D25DAD" w:rsidRDefault="008C2355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устанавливает основные подходы к формированию доходов, порядок и методику планирования бюджетных ассигнований расходов бюджета на  2026 год и на плановый период 2027 и 2028 годов.</w:t>
      </w:r>
    </w:p>
    <w:p w:rsidR="00D25DAD" w:rsidRDefault="008C2355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основу составления бюджета на 2026-2028 годы положен прогноз социально-экономического развития муниципального образования Зубаревский сельсовет  Оренбургского района  Оренбургской области на 2026 год и на плановый период 2027 и 2028 годов, бюджетный прогноз муниципального образования Зубаревский сельсовет Оренбургского района  Оренбургской области на долгосрочный период до 2037 года, основные направления бюджетной политики, налоговой политики и муниципальной долговой политики на 2026 год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плановый период 2027 и 2028 годов, а также приоритеты бюджетной политики, налоговой политики и долговой политики, установленные на районном уровне.</w:t>
      </w:r>
    </w:p>
    <w:p w:rsidR="00D25DAD" w:rsidRDefault="00D25DAD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DAD" w:rsidRDefault="008C2355">
      <w:pPr>
        <w:pStyle w:val="ConsNormal"/>
        <w:ind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Прогноз доходов бюджета</w:t>
      </w:r>
    </w:p>
    <w:p w:rsidR="00D25DAD" w:rsidRDefault="00D25DA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DAD" w:rsidRDefault="008C235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доходы прогнозируются с учетом методик, утвержденных главными администраторами доходов, с учетом следующих особенностей:</w:t>
      </w:r>
    </w:p>
    <w:p w:rsidR="00D25DAD" w:rsidRDefault="008C235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Общий прогнозный объем поступлений в бюджет налога на доходы физических лиц (НДФЛ всего) определяется как сумма прогнозных поступлений каждого вида налога.</w:t>
      </w:r>
    </w:p>
    <w:p w:rsidR="00D25DAD" w:rsidRDefault="00D25DAD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5DAD" w:rsidRDefault="008C2355">
      <w:pPr>
        <w:shd w:val="clear" w:color="auto" w:fill="FFFFFF"/>
        <w:tabs>
          <w:tab w:val="left" w:pos="5812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НДФЛ всего = НДФЛ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+ НДФЛ2 + НДФЛ3, где: </w:t>
      </w:r>
    </w:p>
    <w:p w:rsidR="00D25DAD" w:rsidRDefault="008C235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НДФЛ всего – объем поступлений налога на доходы физических лиц;</w:t>
      </w:r>
    </w:p>
    <w:p w:rsidR="00D25DAD" w:rsidRDefault="008C235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НДФЛ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объем поступлений налога на доходы физических лиц с                       доходов, источником которых является налоговый агент, за исключением         доходов, в отношении которых исчисление и уплата налога осуществляются в соответствии со статьями 227, 227.1 и 228 Налогового кодекса Российской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Федерации;</w:t>
      </w:r>
    </w:p>
    <w:p w:rsidR="00D25DAD" w:rsidRDefault="008C2355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НДФЛ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D25DAD" w:rsidRDefault="008C2355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D25DAD" w:rsidRDefault="00D25DA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5DAD" w:rsidRDefault="008C235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НДФЛ1 = ((ФЗП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) -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Соб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+ 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и, где: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ФЗП – прогнозируемый фонд заработной платы;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ставка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налога; 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налоговые вычеты (имущественные, социальные и отдельные виды налоговых вычетов) за отчетный год;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уровень собираемости налога;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сумма налога, подлежащая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возвратупо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представленным налогоплательщиком декларациям (форма отчета 5-ДДК);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коэффициент роста суммы налога, подлежащей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возвратупо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представленным налогоплательщиком декларациям;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 – сумма налога от иных налоговых ставок (форма отчета 5-НДФЛ);</w:t>
      </w:r>
    </w:p>
    <w:p w:rsidR="00D25DAD" w:rsidRDefault="008C2355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собираемости определяется согласно данным отчета по форме          1-НМ как частное от деления суммы поступившего налога (без учета сумм налога по иным налоговым ставкам), на сумму исчисленного налога </w:t>
      </w:r>
      <w:r>
        <w:rPr>
          <w:rFonts w:ascii="Times New Roman" w:eastAsia="Calibri" w:hAnsi="Times New Roman" w:cs="Times New Roman"/>
          <w:sz w:val="28"/>
          <w:szCs w:val="28"/>
        </w:rPr>
        <w:t>(форма отчета 5-НДФЛ)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(НДФЛ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 </w:t>
      </w:r>
    </w:p>
    <w:p w:rsidR="00D25DAD" w:rsidRDefault="008C235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НДФЛ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НДФЛф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НДФЛф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оценка фактических поступлений текущего года;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Прогнозный объем поступлений налога на доходы физических лиц с 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  <w:proofErr w:type="gramEnd"/>
    </w:p>
    <w:p w:rsidR="00D25DAD" w:rsidRDefault="008C235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НДФЛ3= НБ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D25DAD" w:rsidRDefault="008C2355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D25DAD" w:rsidRDefault="00D25DAD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5DAD" w:rsidRDefault="008C2355">
      <w:pPr>
        <w:shd w:val="clear" w:color="auto" w:fill="FFFFFF"/>
        <w:tabs>
          <w:tab w:val="left" w:pos="5812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УСН всего = УСН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+ УСН2, где: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налог, взимаемый с налогоплательщиков, выбравших в качестве объекта налогообложения доходы;</w:t>
      </w:r>
    </w:p>
    <w:p w:rsidR="00D25DAD" w:rsidRDefault="008C2355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Федерации).       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D25DAD" w:rsidRDefault="00D25DA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5DAD" w:rsidRDefault="008C235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УСН1 =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НБ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НБ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– индекс потребительских цен, за период с начала года; 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налога;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прогнозируемая сумма страховых взносов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отчет по форме </w:t>
      </w:r>
      <w:r>
        <w:rPr>
          <w:rFonts w:ascii="Times New Roman" w:hAnsi="Times New Roman" w:cs="Times New Roman"/>
          <w:sz w:val="28"/>
          <w:szCs w:val="28"/>
        </w:rPr>
        <w:t>5-УСН).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), рассчитывается исходя из оценки налоговой базы по налогу за отчетный период и </w:t>
      </w:r>
      <w:r>
        <w:rPr>
          <w:rFonts w:ascii="Times New Roman" w:hAnsi="Times New Roman" w:cs="Times New Roman"/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следующей формуле:</w:t>
      </w:r>
    </w:p>
    <w:p w:rsidR="00D25DAD" w:rsidRDefault="00D25DA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5DAD" w:rsidRDefault="008C235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УСН2 = </w:t>
      </w:r>
      <w:proofErr w:type="spellStart"/>
      <w:r>
        <w:rPr>
          <w:rFonts w:ascii="Times New Roman" w:hAnsi="Times New Roman" w:cs="Times New Roman"/>
          <w:sz w:val="28"/>
          <w:szCs w:val="28"/>
        </w:rPr>
        <w:t>НБ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И, </w:t>
      </w:r>
      <w:r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НБ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– индекс потребительских цен, за период с начала года; 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налога.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сумма начисленного минимального налога в отчетном финансовом году.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Прогнозируемый объем поступлений единого налога на вмененный доход для отдельных видов деятельности (ЕНВД) рассчитывается по следующей формуле:</w:t>
      </w:r>
    </w:p>
    <w:p w:rsidR="00D25DAD" w:rsidRDefault="008C235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ЕНВД = НБ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НБ – налоговая база прогнозируемого периода;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 – темп роста/снижения налоговой базы по единому налогу на вмененный доход для отдельных видов деятельности;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ставка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налога;</w:t>
      </w:r>
    </w:p>
    <w:p w:rsidR="00D25DAD" w:rsidRDefault="008C2355">
      <w:pP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ожидаемая сумма страховых взносов.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Прогнозируемый объем страховых взносов рассчитывается на уровне суммы страховых взносов отчетного периода.</w:t>
      </w:r>
    </w:p>
    <w:p w:rsidR="00D25DAD" w:rsidRDefault="00D25DAD">
      <w:pPr>
        <w:tabs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D25DAD" w:rsidRDefault="008C235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ЕСХН =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оц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оценка начислений налога в текущем периоде;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D25DAD" w:rsidRDefault="008C2355">
      <w:pPr>
        <w:pStyle w:val="11"/>
        <w:ind w:firstLine="709"/>
        <w:jc w:val="both"/>
        <w:rPr>
          <w:szCs w:val="28"/>
        </w:rPr>
      </w:pPr>
      <w:r>
        <w:rPr>
          <w:szCs w:val="28"/>
        </w:rPr>
        <w:t>5. Неналоговые доходы, подлежащие зачислению в районный бюджет, определены на основании сведений, представленных главными администраторами (администраторами) доходов.</w:t>
      </w:r>
    </w:p>
    <w:p w:rsidR="00D25DAD" w:rsidRDefault="008C235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Прогнозирование доходов бюджета осуществляется в тысячах рублей. 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поступления налогов в консолидированный бюджет, применяемых при определении величины налогового потенциала муниципальных образований сельских поселений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D25DAD" w:rsidRDefault="00D25D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DAD" w:rsidRDefault="008C235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КС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где:</w:t>
      </w:r>
    </w:p>
    <w:p w:rsidR="00D25DAD" w:rsidRDefault="008C2355">
      <w:pPr>
        <w:tabs>
          <w:tab w:val="left" w:pos="6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земельный налог;</w:t>
      </w:r>
    </w:p>
    <w:p w:rsidR="00D25DAD" w:rsidRDefault="008C2355">
      <w:pPr>
        <w:tabs>
          <w:tab w:val="left" w:pos="6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2020 года;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максимально возможная ставка, установленная в соответствии со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статьей 394 Налогового кодекса Российской Федерации. 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D25DAD" w:rsidRDefault="00D25D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DAD" w:rsidRDefault="008C235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КС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D25DAD" w:rsidRDefault="008C2355">
      <w:pPr>
        <w:tabs>
          <w:tab w:val="left" w:pos="6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земельный налог;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2020 года;</w:t>
      </w:r>
    </w:p>
    <w:p w:rsidR="00D25DAD" w:rsidRDefault="008C235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D25DAD" w:rsidRDefault="00D25DAD">
      <w:pPr>
        <w:shd w:val="clear" w:color="auto" w:fill="FFFFFF"/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5DAD" w:rsidRDefault="008C235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Прогноз расходов местного бюджета</w:t>
      </w:r>
    </w:p>
    <w:p w:rsidR="00D25DAD" w:rsidRDefault="00D25DA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DAD" w:rsidRDefault="008C235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подходы к формированию объемов бюджетного финансирования.</w:t>
      </w:r>
    </w:p>
    <w:p w:rsidR="00D25DAD" w:rsidRDefault="008C2355">
      <w:pPr>
        <w:pStyle w:val="a7"/>
        <w:tabs>
          <w:tab w:val="left" w:pos="567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Расходы местного бюджета на 2025-2027 годы формируются исходя из предельных объемов бюджетных ассигнований, доведенных до главных распорядителей средств местного бюджета.</w:t>
      </w:r>
      <w:r>
        <w:rPr>
          <w:rFonts w:ascii="Times New Roman" w:hAnsi="Times New Roman"/>
          <w:color w:val="000000"/>
          <w:sz w:val="28"/>
          <w:szCs w:val="28"/>
        </w:rPr>
        <w:t xml:space="preserve"> В состав бюджетных ассигнований на исполнение действующих расходных обязательств поселения включаются бюджетные ассигнования, обусловленные действующими нормативными правовыми актами, договорами (соглашениями), за исключением норм, действие которых истекает, приостановлено или предлагается (планируется) к приостановлению, признанию утратившими силу в 2024–2026 годах. При этом объем бюджетных ассигнований на исполнение действующих расходных обязательств поселения может рассчитываться с учетом индексации (изменения), если это предусмотрено данными нормативными правовыми актами, договорами (соглашениями).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 xml:space="preserve">редельные объемы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ассигнованийвключены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расходы:</w:t>
      </w:r>
    </w:p>
    <w:p w:rsidR="00D25DAD" w:rsidRDefault="008C2355">
      <w:pPr>
        <w:tabs>
          <w:tab w:val="left" w:pos="107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оплату труда с начислениями отдельным категориям работников бюджетной сферы, поименованным в Указах Президента Российской Федерации, с учетом расходов на обеспечение </w:t>
      </w:r>
      <w:proofErr w:type="gramStart"/>
      <w:r>
        <w:rPr>
          <w:rFonts w:ascii="Times New Roman" w:hAnsi="Times New Roman"/>
          <w:sz w:val="28"/>
          <w:szCs w:val="28"/>
        </w:rPr>
        <w:t>достижения целевых показателей повышения оплаты труда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увеличением фонда оплаты туда с 1 января 2026 года </w:t>
      </w:r>
      <w:r w:rsidRPr="008C2355">
        <w:rPr>
          <w:rFonts w:ascii="Times New Roman" w:hAnsi="Times New Roman" w:cs="Times New Roman"/>
          <w:color w:val="FF0000"/>
          <w:sz w:val="28"/>
          <w:szCs w:val="28"/>
          <w:lang w:bidi="ru-RU"/>
        </w:rPr>
        <w:t>(51100,00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руб.)</w:t>
      </w:r>
      <w:r>
        <w:rPr>
          <w:rFonts w:ascii="Times New Roman" w:hAnsi="Times New Roman"/>
          <w:sz w:val="28"/>
          <w:szCs w:val="28"/>
        </w:rPr>
        <w:t>;</w:t>
      </w:r>
    </w:p>
    <w:p w:rsidR="00D25DAD" w:rsidRDefault="008C235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оплату труда с начислениями работникам, не поименованным в Указах Президента Российской Федерации;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оплату коммунальных услуг с учетом увеличения общего объема данных расходов в 2024 году на 4,5 процента;</w:t>
      </w:r>
    </w:p>
    <w:p w:rsidR="00D25DAD" w:rsidRDefault="008C235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предельных объемах бюджетных ассигнований учитываются расходы на обеспечение минимального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размера оплаты труда работников </w:t>
      </w:r>
      <w:r>
        <w:rPr>
          <w:rFonts w:ascii="Times New Roman" w:hAnsi="Times New Roman"/>
          <w:sz w:val="28"/>
          <w:szCs w:val="28"/>
        </w:rPr>
        <w:lastRenderedPageBreak/>
        <w:t>бюджетной сферы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решениями, принятыми на федеральном уровне.</w:t>
      </w:r>
    </w:p>
    <w:p w:rsidR="00D25DAD" w:rsidRDefault="008C235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оплаты труда работников бюджетной сферы определяется с учетом сохранения в 2026–2028 годах начислений на выплаты по оплате труда в размере 30,2 процента (включая тарифы страховых взносов на обязательное страхование от несчастных случаев на производстве и профессиональных заболеваний в размере 0,2 процента).</w:t>
      </w:r>
    </w:p>
    <w:p w:rsidR="00D25DAD" w:rsidRDefault="008C235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определении предельных объемов бюджетных ассигнований местного бюджета учитывается необходимость выполнения публичных обязательств перед физическими лицами, расходные обязательства по оплате труда и начислениям на выплаты по оплате труда, расходные обязательства, связанные с обслуживанием муниципального долга, а также учтены расходы на реализацию планов мероприятий, обеспечивающих решение задач, поставленных в Указах Президента Российской Федерации.</w:t>
      </w:r>
      <w:proofErr w:type="gramEnd"/>
    </w:p>
    <w:p w:rsidR="00D25DAD" w:rsidRDefault="008C235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При отсутствии возможностей для наращивания общего объема расходов бюджета г</w:t>
      </w:r>
      <w:r>
        <w:rPr>
          <w:rFonts w:ascii="Times New Roman" w:hAnsi="Times New Roman"/>
          <w:bCs/>
          <w:iCs/>
          <w:sz w:val="28"/>
          <w:szCs w:val="28"/>
        </w:rPr>
        <w:t xml:space="preserve">лавные распорядители средств бюджета самостоятельно распределяют доведенные до них предельные объемы бюджетных ассигнований </w:t>
      </w:r>
      <w:r>
        <w:rPr>
          <w:rFonts w:ascii="Times New Roman" w:hAnsi="Times New Roman"/>
          <w:sz w:val="28"/>
          <w:szCs w:val="28"/>
        </w:rPr>
        <w:t>исходя из приоритетности вышеуказанных направлений.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Распределение предельных объемов бюджетных ассигнований на исполнение расходных обязательств осуществляется с учетом необходимости достижения наилучших значений показателей и повышения эффективности бюджетных расходов.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Предложения по оптимизации бюджетных расходов на финансовое обеспечение действующих расходных обязатель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едставляются главными распорядителями средств бюджета при внесении в установленные сроки изменений в нормативные правовые акты, определяющие расходные обязательства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Местный бюджет на 2026 год и на плановый период 2027 и 2028 годов формируется на основе муниципальных программ муниципального образования Зубаревский сельсовет Оренбургского района Оренбургской области.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бюджетных ассигнований на реализацию мероприятий муниципальных программ планируются с учетом разработки и утверждения   муниципальных программ на период реализации 2026–2028 годов, направленных на достижение значений индикативных показателей.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Непрограммные расходы планируются исходя из обеспечения расходных обязательств муниципального образования Зубаревский сельсовет, приоритетов развития и необходимости достижения результатов деятельности. </w:t>
      </w:r>
    </w:p>
    <w:p w:rsidR="00D25DAD" w:rsidRDefault="008C235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Муниципальные </w:t>
      </w:r>
      <w:r>
        <w:rPr>
          <w:rFonts w:ascii="Times New Roman" w:hAnsi="Times New Roman"/>
          <w:sz w:val="28"/>
          <w:szCs w:val="28"/>
        </w:rPr>
        <w:t xml:space="preserve"> задания на оказание муниципальных услуг (выполнение работ  МБУК ЦКиБО «Зубаревский»  формируются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а также в соответствии с региональным перечнем (классификатором) государственных (муниципальных) услуг, не включенных в указанные общероссийские базовые перечни (классификаторы).</w:t>
      </w:r>
      <w:proofErr w:type="gramEnd"/>
    </w:p>
    <w:p w:rsidR="00D25DAD" w:rsidRDefault="008C235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планировании бюджета на 2026 год и на плановый период 2027 и 2028 годы затраты на содержание имущества уч</w:t>
      </w:r>
      <w:r>
        <w:rPr>
          <w:rFonts w:ascii="Times New Roman" w:hAnsi="Times New Roman"/>
          <w:sz w:val="28"/>
          <w:szCs w:val="28"/>
        </w:rPr>
        <w:softHyphen/>
        <w:t>реждения, не используемого для оказания муниципальных услуг (выполне</w:t>
      </w:r>
      <w:r>
        <w:rPr>
          <w:rFonts w:ascii="Times New Roman" w:hAnsi="Times New Roman"/>
          <w:sz w:val="28"/>
          <w:szCs w:val="28"/>
        </w:rPr>
        <w:softHyphen/>
        <w:t>ния работ) и для общехозяйственных нужд, не учитываются.</w:t>
      </w:r>
    </w:p>
    <w:p w:rsidR="00D25DAD" w:rsidRDefault="008C235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Затраты на уплату налога на имущество и земельного налога (далее – имущественные налоги) рассчитываются в соответствии с налоговым законодательством. Для бюджетных и автономных учреждений затраты на уплату имущественных налогов учитываются в объемах финансового обеспечения выполнения муниципальных заданий на оказание муниципальных услуг (выполнение работ).</w:t>
      </w:r>
    </w:p>
    <w:p w:rsidR="00D25DAD" w:rsidRDefault="00D25DA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5DAD" w:rsidRDefault="008C2355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Отраслевые особенности формирования расходов местного бюджета</w:t>
      </w:r>
    </w:p>
    <w:p w:rsidR="00D25DAD" w:rsidRDefault="00D25DA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25DAD" w:rsidRDefault="008C2355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сфере муниципального управления </w:t>
      </w:r>
    </w:p>
    <w:p w:rsidR="00D25DAD" w:rsidRDefault="008C235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Расходы на оплату труда  работников органов местного самоуправления  планируются исходя из должностных окладов работников, установленных в штатных расписаниях, и условий оплаты труда в соответствии с Положениями о порядке  оплаты труда работников органов местного самоуправления и муниципальных казенных  учреждений, утвержденными соответствующими нормативно - правовыми актами, а также с учетом фактических выплат, производимых на основании нормативных актов органов государственной  и муниципальной власти.</w:t>
      </w:r>
      <w:proofErr w:type="gramEnd"/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Предусмотрена индексация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окладов денежного содержания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января 2026 года на 8,0 %  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планируется  в пределах норматива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служащих, установленного Правительством Оренбургской области.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материальные нужды органов местного самоуправления определены исходя из общих подходов к формированию объемов бюджетного финансирования муниципальных бюджетных учреждений.   </w:t>
      </w:r>
    </w:p>
    <w:p w:rsidR="00D25DAD" w:rsidRDefault="008C235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За счет субвенций из областного бюджета предусмотрены расходы:</w:t>
      </w:r>
    </w:p>
    <w:p w:rsidR="00D25DAD" w:rsidRDefault="008C2355">
      <w:pPr>
        <w:pStyle w:val="ad"/>
        <w:ind w:firstLine="709"/>
        <w:jc w:val="both"/>
      </w:pPr>
      <w:r>
        <w:t>- в 2026–2028 годах на осуществление первичного воинского учета на территориях, где отсутствуют военные комиссариаты за счет средств федерального бюджета.</w:t>
      </w:r>
    </w:p>
    <w:p w:rsidR="00D25DAD" w:rsidRDefault="00D25DAD">
      <w:pPr>
        <w:pStyle w:val="ad"/>
        <w:ind w:firstLine="709"/>
        <w:jc w:val="both"/>
      </w:pPr>
    </w:p>
    <w:p w:rsidR="00D25DAD" w:rsidRDefault="008C2355">
      <w:pPr>
        <w:pStyle w:val="ConsPlusNormal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отраслях социальной сферы</w:t>
      </w:r>
    </w:p>
    <w:p w:rsidR="00D25DAD" w:rsidRDefault="008C2355">
      <w:pPr>
        <w:pStyle w:val="ab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 отраслям социальной сферы учтены расходы, необходимые на финансовое обеспечение выполнения муниципальных заданий и предоставление иных субсидий:</w:t>
      </w:r>
    </w:p>
    <w:p w:rsidR="00D25DAD" w:rsidRDefault="008C2355">
      <w:pPr>
        <w:pStyle w:val="ab"/>
        <w:ind w:left="0" w:firstLine="709"/>
        <w:rPr>
          <w:sz w:val="28"/>
          <w:szCs w:val="28"/>
        </w:rPr>
      </w:pPr>
      <w:r>
        <w:rPr>
          <w:sz w:val="28"/>
          <w:szCs w:val="28"/>
        </w:rPr>
        <w:t>- муниципальному бюджетному учреждению культуры.</w:t>
      </w:r>
    </w:p>
    <w:sectPr w:rsidR="00D25DAD" w:rsidSect="00D25DAD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D25DAD"/>
    <w:rsid w:val="000D679E"/>
    <w:rsid w:val="001A78AC"/>
    <w:rsid w:val="002D490E"/>
    <w:rsid w:val="008C2355"/>
    <w:rsid w:val="00952B91"/>
    <w:rsid w:val="00D25DAD"/>
    <w:rsid w:val="00DC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B3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920B3"/>
    <w:pPr>
      <w:keepNext/>
      <w:widowControl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536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link w:val="Heading1"/>
    <w:qFormat/>
    <w:rsid w:val="005920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5920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qFormat/>
    <w:rsid w:val="005920B3"/>
    <w:rPr>
      <w:rFonts w:ascii="Times New Roman" w:hAnsi="Times New Roman" w:cs="Times New Roman"/>
      <w:b/>
      <w:bCs/>
    </w:rPr>
  </w:style>
  <w:style w:type="character" w:customStyle="1" w:styleId="3">
    <w:name w:val="Основной текст 3 Знак"/>
    <w:basedOn w:val="a0"/>
    <w:link w:val="30"/>
    <w:uiPriority w:val="99"/>
    <w:qFormat/>
    <w:rsid w:val="005920B3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6">
    <w:name w:val="Без интервала Знак"/>
    <w:link w:val="a7"/>
    <w:uiPriority w:val="99"/>
    <w:qFormat/>
    <w:locked/>
    <w:rsid w:val="005920B3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987C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sid w:val="00DA7E8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qFormat/>
    <w:rsid w:val="00DA7E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uiPriority w:val="10"/>
    <w:qFormat/>
    <w:rsid w:val="00DA7E8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0">
    <w:name w:val="Название Знак1"/>
    <w:link w:val="ad"/>
    <w:uiPriority w:val="99"/>
    <w:qFormat/>
    <w:locked/>
    <w:rsid w:val="00DA7E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536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Hyperlink"/>
    <w:rsid w:val="00D25DAD"/>
    <w:rPr>
      <w:color w:val="000080"/>
      <w:u w:val="single"/>
    </w:rPr>
  </w:style>
  <w:style w:type="paragraph" w:customStyle="1" w:styleId="af">
    <w:name w:val="Заголовок"/>
    <w:basedOn w:val="a"/>
    <w:next w:val="a4"/>
    <w:qFormat/>
    <w:rsid w:val="00D25DA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rsid w:val="005920B3"/>
    <w:pPr>
      <w:widowControl/>
      <w:jc w:val="both"/>
    </w:pPr>
    <w:rPr>
      <w:rFonts w:ascii="Times New Roman" w:hAnsi="Times New Roman" w:cs="Times New Roman"/>
      <w:sz w:val="28"/>
      <w:szCs w:val="24"/>
    </w:rPr>
  </w:style>
  <w:style w:type="paragraph" w:styleId="af0">
    <w:name w:val="List"/>
    <w:basedOn w:val="a4"/>
    <w:rsid w:val="00D25DAD"/>
    <w:rPr>
      <w:rFonts w:cs="Arial"/>
    </w:rPr>
  </w:style>
  <w:style w:type="paragraph" w:customStyle="1" w:styleId="Caption">
    <w:name w:val="Caption"/>
    <w:basedOn w:val="a"/>
    <w:qFormat/>
    <w:rsid w:val="00D25DAD"/>
    <w:pPr>
      <w:suppressLineNumbers/>
      <w:spacing w:before="120" w:after="120"/>
    </w:pPr>
    <w:rPr>
      <w:i/>
      <w:iCs/>
      <w:sz w:val="24"/>
      <w:szCs w:val="24"/>
    </w:rPr>
  </w:style>
  <w:style w:type="paragraph" w:styleId="af1">
    <w:name w:val="index heading"/>
    <w:basedOn w:val="a"/>
    <w:qFormat/>
    <w:rsid w:val="00D25DAD"/>
    <w:pPr>
      <w:suppressLineNumbers/>
    </w:pPr>
  </w:style>
  <w:style w:type="paragraph" w:styleId="af2">
    <w:name w:val="Normal (Web)"/>
    <w:basedOn w:val="a"/>
    <w:qFormat/>
    <w:rsid w:val="005920B3"/>
    <w:pPr>
      <w:widowControl/>
    </w:pPr>
    <w:rPr>
      <w:rFonts w:ascii="Times New Roman" w:hAnsi="Times New Roman" w:cs="Times New Roman"/>
      <w:sz w:val="24"/>
      <w:szCs w:val="24"/>
    </w:rPr>
  </w:style>
  <w:style w:type="paragraph" w:styleId="30">
    <w:name w:val="Body Text 3"/>
    <w:basedOn w:val="a"/>
    <w:link w:val="3"/>
    <w:uiPriority w:val="99"/>
    <w:unhideWhenUsed/>
    <w:qFormat/>
    <w:rsid w:val="005920B3"/>
    <w:pPr>
      <w:spacing w:after="120"/>
    </w:pPr>
    <w:rPr>
      <w:sz w:val="16"/>
      <w:szCs w:val="16"/>
    </w:rPr>
  </w:style>
  <w:style w:type="paragraph" w:styleId="a7">
    <w:name w:val="No Spacing"/>
    <w:link w:val="a6"/>
    <w:uiPriority w:val="1"/>
    <w:qFormat/>
    <w:rsid w:val="005920B3"/>
    <w:rPr>
      <w:rFonts w:cs="Times New Roman"/>
    </w:rPr>
  </w:style>
  <w:style w:type="paragraph" w:styleId="af3">
    <w:name w:val="List Paragraph"/>
    <w:basedOn w:val="a"/>
    <w:qFormat/>
    <w:rsid w:val="005920B3"/>
    <w:pPr>
      <w:widowControl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qFormat/>
    <w:rsid w:val="005920B3"/>
    <w:pPr>
      <w:widowControl/>
      <w:tabs>
        <w:tab w:val="left" w:pos="6946"/>
      </w:tabs>
      <w:ind w:firstLine="709"/>
      <w:jc w:val="both"/>
    </w:pPr>
    <w:rPr>
      <w:rFonts w:ascii="Times New Roman" w:hAnsi="Times New Roman" w:cs="Times New Roman"/>
      <w:sz w:val="28"/>
      <w:lang w:eastAsia="ar-SA"/>
    </w:rPr>
  </w:style>
  <w:style w:type="paragraph" w:styleId="a9">
    <w:name w:val="Balloon Text"/>
    <w:basedOn w:val="a"/>
    <w:link w:val="a8"/>
    <w:uiPriority w:val="99"/>
    <w:semiHidden/>
    <w:unhideWhenUsed/>
    <w:qFormat/>
    <w:rsid w:val="00987C09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uiPriority w:val="99"/>
    <w:qFormat/>
    <w:rsid w:val="00DA7E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DA7E86"/>
    <w:pPr>
      <w:widowControl/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qFormat/>
    <w:rsid w:val="00DA7E86"/>
    <w:pPr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10"/>
    <w:uiPriority w:val="99"/>
    <w:qFormat/>
    <w:rsid w:val="00DA7E86"/>
    <w:pPr>
      <w:widowControl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Без интервала1"/>
    <w:qFormat/>
    <w:rsid w:val="00DA7E86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1798-1C04-49B2-92C3-E248ABEA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002</cp:lastModifiedBy>
  <cp:revision>6</cp:revision>
  <cp:lastPrinted>2022-11-16T09:41:00Z</cp:lastPrinted>
  <dcterms:created xsi:type="dcterms:W3CDTF">2024-11-18T10:22:00Z</dcterms:created>
  <dcterms:modified xsi:type="dcterms:W3CDTF">2025-11-25T11:19:00Z</dcterms:modified>
  <dc:language>ru-RU</dc:language>
</cp:coreProperties>
</file>